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7" w:rsidRPr="00996102" w:rsidRDefault="005515A7" w:rsidP="005515A7">
      <w:pPr>
        <w:rPr>
          <w:rStyle w:val="Hyperlink"/>
          <w:b/>
          <w:sz w:val="28"/>
          <w:szCs w:val="28"/>
        </w:rPr>
      </w:pPr>
      <w:r w:rsidRPr="00996102">
        <w:rPr>
          <w:b/>
          <w:sz w:val="28"/>
          <w:szCs w:val="28"/>
        </w:rPr>
        <w:t xml:space="preserve">Wie liest mein Kind? </w:t>
      </w:r>
    </w:p>
    <w:tbl>
      <w:tblPr>
        <w:tblW w:w="0" w:type="auto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0"/>
        <w:gridCol w:w="3815"/>
        <w:gridCol w:w="3947"/>
      </w:tblGrid>
      <w:tr w:rsidR="005515A7" w:rsidRPr="00996102" w:rsidTr="005515A7">
        <w:trPr>
          <w:tblCellSpacing w:w="22" w:type="dxa"/>
        </w:trPr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Entwicklungsstufen des Lesens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Merkmale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Hinweise für die Eltern </w:t>
            </w:r>
          </w:p>
        </w:tc>
      </w:tr>
      <w:tr w:rsidR="005515A7" w:rsidRPr="00996102" w:rsidTr="005515A7">
        <w:trPr>
          <w:tblCellSpacing w:w="22" w:type="dxa"/>
        </w:trPr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1. "Als ob Vorlesen"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Das Kind entwickelt eine Vorste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lung von Schriftzeichen und ahmt die Erwachsenen beim Vorlesen nach.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Erzählen Sie oder lesen Sie ihren Ki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dern aus Bilderbüchern Geschichten vor. Tauschen Sie auch einmal die Rollen.</w:t>
            </w:r>
          </w:p>
        </w:tc>
      </w:tr>
      <w:tr w:rsidR="005515A7" w:rsidRPr="00996102" w:rsidTr="005515A7">
        <w:trPr>
          <w:tblCellSpacing w:w="22" w:type="dxa"/>
        </w:trPr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2. Erraten von Wörtern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Das Kind erkennt Wörter aufgrund visueller Merkmale. Es benennt Wörter mit speziellem Schriftzug, wie z.B. Firmenzeichen, die in einem bekannten Kontext auftreten.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Gehen Sie aufmerksam mit Ihren Ki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dern durch die Umgebung. Bestätigen Sie die Kinder, wenn Sie Cola, ALDI, WC und Exit erkennen. </w:t>
            </w:r>
          </w:p>
        </w:tc>
      </w:tr>
      <w:tr w:rsidR="005515A7" w:rsidRPr="00996102" w:rsidTr="005515A7">
        <w:trPr>
          <w:tblCellSpacing w:w="22" w:type="dxa"/>
        </w:trPr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3. Buchstaben als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 xml:space="preserve">  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r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kennungsmerkmale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Im Ü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bergang vom Vorschul- zum Unterstufenalter können Kinder Wö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ter an bestimmten Buchstaben wiedererkennen (oft sind es 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fangs- oder besonders einprägsame Buc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h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staben)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Das Spiel: "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Wer entdeckt ein neues Schild?" "Wer sieht zuerst ein Wort mit A?", ist für Kinder im Vor- und Grundschulalter immer spannend.</w:t>
            </w:r>
          </w:p>
        </w:tc>
      </w:tr>
      <w:tr w:rsidR="005515A7" w:rsidRPr="00996102" w:rsidTr="005515A7">
        <w:trPr>
          <w:tblCellSpacing w:w="22" w:type="dxa"/>
        </w:trPr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4. Buchstabenweises Erlesen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In der Unterstufe lernen die Kinder, dem einzelnen Buchstaben (Gr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phem) einen Laut (Phonem) zuz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u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ordnen. Sie können ganze Buchst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benreihen in Lautreihen übersetzen, gelegentlich ohne Sin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verständnis.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Haben Sie Verständnis und Geduld, wenn Ihr Kind anfänglich bei einze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nen Buchstaben wieder nachfragt, wie sie tönen. Je länger ein Wort ist, umso schwieriger ist es, die einzelnen Laute zu verschmel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zen und das Wort zu erkennen. z. B. "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M au s" = Maus, was aber heisst das? "H u n d e h au s" </w:t>
            </w:r>
          </w:p>
        </w:tc>
      </w:tr>
      <w:tr w:rsidR="005515A7" w:rsidRPr="00996102" w:rsidTr="005515A7">
        <w:trPr>
          <w:tblCellSpacing w:w="22" w:type="dxa"/>
        </w:trPr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5. Fortgeschrittenes Lesen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Beim Lesen kann das Kind immer grössere Einheiten auf einmal erfa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sen. z.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 Endungen -en, -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el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, -er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;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Si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ben So-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fa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Ti-ger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;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Morpheme ab, ein, da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;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Signalgruppen K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atz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e, T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atz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>.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Dadurch erhöht sich das Lesetempo.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Unterstützen Sie Ihr Kind, indem Sie gemeinsam laut lesen. Lesen Sie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lange und schwierige Wörter etwas leiser mit. Unterteilen Sie lange Wö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ter in Silben. z.B. 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be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- </w:t>
            </w: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ob-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ach-</w:t>
            </w:r>
            <w:proofErr w:type="spellStart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ten</w:t>
            </w:r>
            <w:proofErr w:type="spellEnd"/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mit Kla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schen oder Silbenbogen zeichnen.</w:t>
            </w:r>
          </w:p>
        </w:tc>
      </w:tr>
      <w:tr w:rsidR="005515A7" w:rsidRPr="00996102" w:rsidTr="005515A7">
        <w:trPr>
          <w:tblCellSpacing w:w="22" w:type="dxa"/>
        </w:trPr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F32C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b/>
                <w:bCs/>
                <w:sz w:val="24"/>
                <w:szCs w:val="24"/>
                <w:lang w:eastAsia="de-CH"/>
              </w:rPr>
              <w:t>  6. Flüssiges Lesen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Der Lesevorgang braucht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gegen 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de der Unterstufe immer weniger Aufmerksamkeit. Die Ko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zentration auf den Inhalt wird stä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ker. Das Kind baut eine Leseerwa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tung auf. Kinder lesen, um in eine spannende Welt einzutauchen. Sie wollen Neues </w:t>
            </w:r>
            <w:r>
              <w:rPr>
                <w:rFonts w:eastAsia="Times New Roman" w:cs="Times New Roman"/>
                <w:sz w:val="24"/>
                <w:szCs w:val="24"/>
                <w:lang w:eastAsia="de-CH"/>
              </w:rPr>
              <w:t xml:space="preserve"> 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le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nen.</w:t>
            </w:r>
          </w:p>
        </w:tc>
        <w:tc>
          <w:tcPr>
            <w:tcW w:w="0" w:type="auto"/>
            <w:tcBorders>
              <w:top w:val="single" w:sz="6" w:space="0" w:color="001A00"/>
              <w:left w:val="single" w:sz="6" w:space="0" w:color="001A00"/>
              <w:bottom w:val="single" w:sz="6" w:space="0" w:color="001A00"/>
              <w:right w:val="single" w:sz="6" w:space="0" w:color="001A00"/>
            </w:tcBorders>
            <w:hideMark/>
          </w:tcPr>
          <w:p w:rsidR="005515A7" w:rsidRPr="00996102" w:rsidRDefault="005515A7" w:rsidP="005515A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CH"/>
              </w:rPr>
            </w:pP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Altersgemässer Lesestoff mit anspr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chendem Inhalt, kindgerechte Sac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h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bücher, der gemeinsame Gang zur Bibliothek, vorlesen bis zur näch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s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ten spannenden Stelle... denn Les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e</w:t>
            </w:r>
            <w:r w:rsidRPr="00996102">
              <w:rPr>
                <w:rFonts w:eastAsia="Times New Roman" w:cs="Times New Roman"/>
                <w:sz w:val="24"/>
                <w:szCs w:val="24"/>
                <w:lang w:eastAsia="de-CH"/>
              </w:rPr>
              <w:t>zeit ist nie verlorene Zeit!</w:t>
            </w:r>
          </w:p>
        </w:tc>
      </w:tr>
    </w:tbl>
    <w:p w:rsidR="00237135" w:rsidRDefault="001C394E">
      <w:r>
        <w:rPr>
          <w:rFonts w:eastAsia="Times New Roman" w:cs="Arial"/>
          <w:lang w:eastAsia="de-CH"/>
        </w:rPr>
        <w:t xml:space="preserve">Verfasst vom </w:t>
      </w:r>
      <w:proofErr w:type="spellStart"/>
      <w:r>
        <w:rPr>
          <w:rFonts w:eastAsia="Times New Roman" w:cs="Arial"/>
          <w:lang w:eastAsia="de-CH"/>
        </w:rPr>
        <w:t>logopäd</w:t>
      </w:r>
      <w:proofErr w:type="spellEnd"/>
      <w:r>
        <w:rPr>
          <w:rFonts w:eastAsia="Times New Roman" w:cs="Arial"/>
          <w:lang w:eastAsia="de-CH"/>
        </w:rPr>
        <w:t xml:space="preserve">. Dienst </w:t>
      </w:r>
      <w:proofErr w:type="spellStart"/>
      <w:r w:rsidR="005515A7" w:rsidRPr="00996102">
        <w:rPr>
          <w:rFonts w:eastAsia="Times New Roman" w:cs="Arial"/>
          <w:lang w:eastAsia="de-CH"/>
        </w:rPr>
        <w:t>Andelfingen</w:t>
      </w:r>
      <w:proofErr w:type="spellEnd"/>
      <w:r w:rsidR="005515A7" w:rsidRPr="00996102">
        <w:rPr>
          <w:rFonts w:eastAsia="Times New Roman" w:cs="Arial"/>
          <w:lang w:eastAsia="de-CH"/>
        </w:rPr>
        <w:t> </w:t>
      </w:r>
      <w:bookmarkStart w:id="0" w:name="_GoBack"/>
      <w:bookmarkEnd w:id="0"/>
    </w:p>
    <w:sectPr w:rsidR="00237135" w:rsidSect="005515A7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A7"/>
    <w:rsid w:val="001C394E"/>
    <w:rsid w:val="00237135"/>
    <w:rsid w:val="005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5A7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1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5A7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1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Achermann Myriam</dc:creator>
  <cp:lastModifiedBy>Achermann Myriam</cp:lastModifiedBy>
  <cp:revision>2</cp:revision>
  <dcterms:created xsi:type="dcterms:W3CDTF">2015-03-10T23:41:00Z</dcterms:created>
  <dcterms:modified xsi:type="dcterms:W3CDTF">2015-03-10T23:49:00Z</dcterms:modified>
</cp:coreProperties>
</file>