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1F" w:rsidRDefault="00F7621F" w:rsidP="00F7621F">
      <w:pPr>
        <w:rPr>
          <w:b/>
          <w:sz w:val="32"/>
          <w:szCs w:val="32"/>
        </w:rPr>
      </w:pPr>
      <w:r w:rsidRPr="00996102">
        <w:rPr>
          <w:b/>
          <w:sz w:val="32"/>
          <w:szCs w:val="32"/>
        </w:rPr>
        <w:t xml:space="preserve">Wie schreibt mein Kind? </w:t>
      </w:r>
    </w:p>
    <w:p w:rsidR="00C937F3" w:rsidRPr="00996102" w:rsidRDefault="00C937F3" w:rsidP="00F7621F">
      <w:pPr>
        <w:rPr>
          <w:rStyle w:val="Hyperlink"/>
          <w:b/>
          <w:sz w:val="32"/>
          <w:szCs w:val="32"/>
        </w:rPr>
      </w:pPr>
      <w:bookmarkStart w:id="0" w:name="_GoBack"/>
      <w:bookmarkEnd w:id="0"/>
    </w:p>
    <w:tbl>
      <w:tblPr>
        <w:tblW w:w="10207" w:type="dxa"/>
        <w:tblCellSpacing w:w="22" w:type="dxa"/>
        <w:tblInd w:w="-29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3"/>
        <w:gridCol w:w="3969"/>
        <w:gridCol w:w="3685"/>
      </w:tblGrid>
      <w:tr w:rsidR="00F7621F" w:rsidRPr="00996102" w:rsidTr="00F7621F">
        <w:trPr>
          <w:tblCellSpacing w:w="22" w:type="dxa"/>
        </w:trPr>
        <w:tc>
          <w:tcPr>
            <w:tcW w:w="2487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32C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Entwicklungsstufen des Schre</w:t>
            </w: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i</w:t>
            </w: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bens</w:t>
            </w:r>
          </w:p>
        </w:tc>
        <w:tc>
          <w:tcPr>
            <w:tcW w:w="3925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76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  Merkmale</w:t>
            </w:r>
          </w:p>
        </w:tc>
        <w:tc>
          <w:tcPr>
            <w:tcW w:w="3619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76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  Hinweise für die Eltern</w:t>
            </w:r>
          </w:p>
        </w:tc>
      </w:tr>
      <w:tr w:rsidR="00F7621F" w:rsidRPr="00996102" w:rsidTr="00F7621F">
        <w:trPr>
          <w:tblCellSpacing w:w="22" w:type="dxa"/>
        </w:trPr>
        <w:tc>
          <w:tcPr>
            <w:tcW w:w="2487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32C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  1. Kritzeln</w:t>
            </w:r>
          </w:p>
        </w:tc>
        <w:tc>
          <w:tcPr>
            <w:tcW w:w="3925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76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Das kleine Kind ahmt das Ve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r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halten der Erwachsenen nach. Es bringt seine Spuren auf das Papier. </w:t>
            </w:r>
            <w:r w:rsidRPr="00996102">
              <w:rPr>
                <w:rFonts w:eastAsia="Times New Roman" w:cs="Times New Roman"/>
                <w:sz w:val="24"/>
                <w:szCs w:val="24"/>
                <w:u w:val="single"/>
                <w:lang w:eastAsia="de-CH"/>
              </w:rPr>
              <w:t>Leistung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: Nachahmung</w:t>
            </w:r>
          </w:p>
        </w:tc>
        <w:tc>
          <w:tcPr>
            <w:tcW w:w="3619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76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Stellen Sie Ihrem Kind Notizp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a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pier, Hefte, Papierb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ö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gen und allerlei Stifte zur Verfügung. Fr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a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gen Sie nach, was es denn da gezeichnet habe.  </w:t>
            </w:r>
          </w:p>
        </w:tc>
      </w:tr>
      <w:tr w:rsidR="00F7621F" w:rsidRPr="00996102" w:rsidTr="00F7621F">
        <w:trPr>
          <w:tblCellSpacing w:w="22" w:type="dxa"/>
        </w:trPr>
        <w:tc>
          <w:tcPr>
            <w:tcW w:w="2487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32C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  2. Kenntnis einzelner Buchst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a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 xml:space="preserve">ben aufgrund ihrer </w:t>
            </w:r>
            <w:proofErr w:type="spellStart"/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Figurmer</w:t>
            </w: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k</w:t>
            </w: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male</w:t>
            </w:r>
            <w:proofErr w:type="spellEnd"/>
          </w:p>
        </w:tc>
        <w:tc>
          <w:tcPr>
            <w:tcW w:w="3925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76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Das Vorschulkind merkt sich die 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  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Gestalt und die Anordnung von Buc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h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staben und Buchstabenre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i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hen. Oft kennt es den einzelnen Laut gar noch nicht. </w:t>
            </w:r>
            <w:r w:rsidRPr="00996102">
              <w:rPr>
                <w:rFonts w:eastAsia="Times New Roman" w:cs="Times New Roman"/>
                <w:sz w:val="24"/>
                <w:szCs w:val="24"/>
                <w:u w:val="single"/>
                <w:lang w:eastAsia="de-CH"/>
              </w:rPr>
              <w:t>Leistung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: G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dächtnis  </w:t>
            </w:r>
          </w:p>
        </w:tc>
        <w:tc>
          <w:tcPr>
            <w:tcW w:w="3619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76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Nun beginnt das Kind, lange Buc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h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stabenreihen zu malen. Dazu 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 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gehört auch das A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b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schreiben und selber Schreiben des eigenen 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Namens.  </w:t>
            </w:r>
          </w:p>
        </w:tc>
      </w:tr>
      <w:tr w:rsidR="00F7621F" w:rsidRPr="00996102" w:rsidTr="00F7621F">
        <w:trPr>
          <w:tblCellSpacing w:w="22" w:type="dxa"/>
        </w:trPr>
        <w:tc>
          <w:tcPr>
            <w:tcW w:w="2487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32C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 xml:space="preserve">  3.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 xml:space="preserve">Einsicht in die Buchstaben- </w:t>
            </w: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Laut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-B</w:t>
            </w: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e</w:t>
            </w: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ziehung  </w:t>
            </w:r>
          </w:p>
        </w:tc>
        <w:tc>
          <w:tcPr>
            <w:tcW w:w="3925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76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Im Übergang vom Vorschul- zum 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Unterstufenalter kennen Kinder 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 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einzelne Buchstaben. Nach dem 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Prinzip "schreibe wie du sprichst" 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ac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h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ten sie auf die Lautfolgen im Wort und se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t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zen für jeden hörbaren Laut einen Buchstaben. </w:t>
            </w:r>
            <w:r w:rsidRPr="00996102">
              <w:rPr>
                <w:rFonts w:eastAsia="Times New Roman" w:cs="Times New Roman"/>
                <w:sz w:val="24"/>
                <w:szCs w:val="24"/>
                <w:u w:val="single"/>
                <w:lang w:eastAsia="de-CH"/>
              </w:rPr>
              <w:t>Leistung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: Lautb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wusstsein und Analyse über das 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  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G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hör  </w:t>
            </w:r>
          </w:p>
        </w:tc>
        <w:tc>
          <w:tcPr>
            <w:tcW w:w="3619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76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Die lautgetreue Schreibwe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i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se Ihres Kindes ent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>spricht seiner Entwic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>k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lung. Die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Wertschätzung von kin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d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li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chen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schriftlichen Nachrich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ten fördert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sein Selbs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t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bewusstsein. "</w:t>
            </w:r>
            <w:proofErr w:type="spellStart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maine</w:t>
            </w:r>
            <w:proofErr w:type="spellEnd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froindin</w:t>
            </w:r>
            <w:proofErr w:type="spellEnd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haist</w:t>
            </w:r>
            <w:proofErr w:type="spellEnd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tania</w:t>
            </w:r>
            <w:proofErr w:type="spellEnd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und wir </w:t>
            </w:r>
            <w:proofErr w:type="spellStart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schpilen</w:t>
            </w:r>
            <w:proofErr w:type="spellEnd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fil</w:t>
            </w:r>
            <w:proofErr w:type="spellEnd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zusamn</w:t>
            </w:r>
            <w:proofErr w:type="spellEnd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."</w:t>
            </w:r>
          </w:p>
        </w:tc>
      </w:tr>
      <w:tr w:rsidR="00F7621F" w:rsidRPr="00996102" w:rsidTr="00F7621F">
        <w:trPr>
          <w:tblCellSpacing w:w="22" w:type="dxa"/>
        </w:trPr>
        <w:tc>
          <w:tcPr>
            <w:tcW w:w="2487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32C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 xml:space="preserve">  4. Einsicht und      Anwendung von     orthographischen  </w:t>
            </w: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 xml:space="preserve">Strategien     </w:t>
            </w:r>
          </w:p>
        </w:tc>
        <w:tc>
          <w:tcPr>
            <w:tcW w:w="3925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76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Ende Unterstufe erkennt das Schu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l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kind, dass es Wörter gibt, die von der lautgetreuen Schreibweise a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b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weichen und es beginnt, erste Regeln abzule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i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ten und anzuwe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n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den. z.B. "St" und "</w:t>
            </w:r>
            <w:proofErr w:type="spellStart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Sp</w:t>
            </w:r>
            <w:proofErr w:type="spellEnd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" anstelle von "</w:t>
            </w:r>
            <w:proofErr w:type="spellStart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Schtart</w:t>
            </w:r>
            <w:proofErr w:type="spellEnd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" und 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          </w:t>
            </w:r>
            <w:r w:rsidR="00C937F3">
              <w:rPr>
                <w:rFonts w:eastAsia="Times New Roman" w:cs="Times New Roman"/>
                <w:sz w:val="24"/>
                <w:szCs w:val="24"/>
                <w:lang w:eastAsia="de-CH"/>
              </w:rPr>
              <w:t>"</w:t>
            </w:r>
            <w:proofErr w:type="spellStart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Schport</w:t>
            </w:r>
            <w:proofErr w:type="spellEnd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". Es gibt Beso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n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derheiten, die man nicht immer h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ö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ren kann wie Tal, Saal, Stahl. Warum verändert sich "R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o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se" in "Rosse" und aus "Schiff" wird "schief" </w:t>
            </w:r>
            <w:r w:rsidRPr="00996102">
              <w:rPr>
                <w:rFonts w:eastAsia="Times New Roman" w:cs="Times New Roman"/>
                <w:sz w:val="24"/>
                <w:szCs w:val="24"/>
                <w:u w:val="single"/>
                <w:lang w:eastAsia="de-CH"/>
              </w:rPr>
              <w:t>Leistung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: Bilden und Anwenden erster R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geln  </w:t>
            </w:r>
          </w:p>
        </w:tc>
        <w:tc>
          <w:tcPr>
            <w:tcW w:w="3619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76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Wenn  Kinder merken, dass die Strategie "schreibe, was du hörst" nicht genügt, sind sie a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n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fänglich oft verunsichert. Sie brauchen dann die Hilfe und Geduld der </w:t>
            </w:r>
            <w:r w:rsidR="00C937F3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Erwachsenen und nicht das ständ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i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ge Hinweisen auf ihre Fehler. Lehrpersonen sind didaktisch g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fordert, den Schüler/Inne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>n Wor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>t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>material mit orthographi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schen Merkmalen anzubieten, damit </w:t>
            </w:r>
            <w:r w:rsidR="00C937F3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di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se die Regelfindung erwerben können.   </w:t>
            </w:r>
          </w:p>
        </w:tc>
      </w:tr>
      <w:tr w:rsidR="00F7621F" w:rsidRPr="00996102" w:rsidTr="00F7621F">
        <w:trPr>
          <w:tblCellSpacing w:w="22" w:type="dxa"/>
        </w:trPr>
        <w:tc>
          <w:tcPr>
            <w:tcW w:w="2487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32C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 xml:space="preserve">  5. Einsicht und </w:t>
            </w:r>
            <w:r w:rsidR="00C937F3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 xml:space="preserve">    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 xml:space="preserve">Anwendung von </w:t>
            </w: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 xml:space="preserve">Wortbausteinen     </w:t>
            </w:r>
          </w:p>
        </w:tc>
        <w:tc>
          <w:tcPr>
            <w:tcW w:w="3925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76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In der Mittelstufe erkennt das Schu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l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kind den Aufbau von Wörtern und darin vorkommende Bauste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i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ne. Bei dieser Strategie werden Wö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r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ter auf ihre Bildungselemente hin b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fragt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lastRenderedPageBreak/>
              <w:t>und analysiert. Je be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ser dies gelingt, desto erfolgreicher wird die Rech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t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schreibung bewältigt. </w:t>
            </w:r>
            <w:r w:rsidRPr="00996102">
              <w:rPr>
                <w:rFonts w:eastAsia="Times New Roman" w:cs="Times New Roman"/>
                <w:sz w:val="24"/>
                <w:szCs w:val="24"/>
                <w:u w:val="single"/>
                <w:lang w:eastAsia="de-CH"/>
              </w:rPr>
              <w:t>Leistung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: Anal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y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se der Wor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t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struktur</w:t>
            </w:r>
          </w:p>
        </w:tc>
        <w:tc>
          <w:tcPr>
            <w:tcW w:w="3619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76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lastRenderedPageBreak/>
              <w:t>In dieser Phase realisieren die Schüler/Innen, dass es Wortfam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i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lien gibt, die Gemeinsa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m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keiten aufweisen, wie </w:t>
            </w:r>
            <w:proofErr w:type="spellStart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z.B</w:t>
            </w:r>
            <w:proofErr w:type="spellEnd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die Familie "fahr" (</w:t>
            </w: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fahr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en, Ge</w:t>
            </w: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fahr, fähr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t, </w:t>
            </w:r>
            <w:r w:rsidR="00C937F3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 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lastRenderedPageBreak/>
              <w:t>ge</w:t>
            </w: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fähr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lich). Sie erkennen Worte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n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dungen -</w:t>
            </w:r>
            <w:proofErr w:type="spellStart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el</w:t>
            </w:r>
            <w:proofErr w:type="spellEnd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, -er, -en und Vo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r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silben </w:t>
            </w:r>
            <w:proofErr w:type="spellStart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ge</w:t>
            </w:r>
            <w:proofErr w:type="spellEnd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-, ab-, </w:t>
            </w:r>
            <w:proofErr w:type="spellStart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ver</w:t>
            </w:r>
            <w:proofErr w:type="spellEnd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-. Ebenso kö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n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nen sie die Schreibwe</w:t>
            </w:r>
            <w:r w:rsidR="00C937F3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ise ableiten, wie "Kamm / kämmen"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und "Bart</w:t>
            </w:r>
            <w:r w:rsidR="00C937F3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/</w:t>
            </w:r>
            <w:r w:rsidR="00C937F3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Bärte"  </w:t>
            </w:r>
          </w:p>
        </w:tc>
      </w:tr>
      <w:tr w:rsidR="00F7621F" w:rsidRPr="00996102" w:rsidTr="00F7621F">
        <w:trPr>
          <w:tblCellSpacing w:w="22" w:type="dxa"/>
        </w:trPr>
        <w:tc>
          <w:tcPr>
            <w:tcW w:w="2487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32C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lastRenderedPageBreak/>
              <w:t>  6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. Einsicht in die wortübergreife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n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 xml:space="preserve">de </w:t>
            </w: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Strategie</w:t>
            </w:r>
          </w:p>
        </w:tc>
        <w:tc>
          <w:tcPr>
            <w:tcW w:w="3925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76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Auf der Grundlage der Grammatik erkennt der/die Schüler/in die </w:t>
            </w:r>
            <w:r w:rsidR="00C937F3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    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A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b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hängigkeit der Schreibweise eines Wortes von Wortart und Gramm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a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tik. Dazu gehören Gross-, Klein</w:t>
            </w:r>
            <w:r w:rsidR="00C937F3">
              <w:rPr>
                <w:rFonts w:eastAsia="Times New Roman" w:cs="Times New Roman"/>
                <w:sz w:val="24"/>
                <w:szCs w:val="24"/>
                <w:lang w:eastAsia="de-CH"/>
              </w:rPr>
              <w:t>-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schreibung, Getrennt- oder Zusa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m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menschreibung. Mit den Satzzeichen erhalten Sätze und Texte  ihre orth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o</w:t>
            </w:r>
            <w:r w:rsidR="00C937F3">
              <w:rPr>
                <w:rFonts w:eastAsia="Times New Roman" w:cs="Times New Roman"/>
                <w:sz w:val="24"/>
                <w:szCs w:val="24"/>
                <w:lang w:eastAsia="de-CH"/>
              </w:rPr>
              <w:t>graphisch richtige Gestalt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. </w:t>
            </w:r>
            <w:r w:rsidRPr="00996102">
              <w:rPr>
                <w:rFonts w:eastAsia="Times New Roman" w:cs="Times New Roman"/>
                <w:sz w:val="24"/>
                <w:szCs w:val="24"/>
                <w:u w:val="single"/>
                <w:lang w:eastAsia="de-CH"/>
              </w:rPr>
              <w:t>Leistung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: Beachten von umfassenden gramm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a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tischen Kenntnissen</w:t>
            </w:r>
          </w:p>
        </w:tc>
        <w:tc>
          <w:tcPr>
            <w:tcW w:w="3619" w:type="dxa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F7621F" w:rsidRPr="00996102" w:rsidRDefault="00F7621F" w:rsidP="00F762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Das Erreichen dieser let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z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ten Stufe verlangt eine ste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i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gende geistige Herausford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rung. Immer mehr sprachliches Wissen muss auf </w:t>
            </w:r>
            <w:r w:rsidR="00C937F3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ab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trakten Ebenen verknüpft und verarbeitet werden. Jede vorau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gehende Stufe bleibt dabei erha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l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ten. Eltern, Lehrpersonen und nicht zuletzt die Jugendlichen brauchen für diesen Prozess </w:t>
            </w:r>
            <w:r w:rsidR="00C937F3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  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passende, schriftliche Anregu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n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gen, aber auch Geduld und Zeit.  </w:t>
            </w:r>
          </w:p>
        </w:tc>
      </w:tr>
    </w:tbl>
    <w:p w:rsidR="00C937F3" w:rsidRDefault="00C937F3" w:rsidP="00F7621F"/>
    <w:p w:rsidR="00F7621F" w:rsidRPr="00996102" w:rsidRDefault="00F7621F" w:rsidP="00F7621F">
      <w:r w:rsidRPr="00996102">
        <w:t xml:space="preserve">Verfasst von </w:t>
      </w:r>
      <w:proofErr w:type="spellStart"/>
      <w:r w:rsidRPr="00996102">
        <w:t>ld</w:t>
      </w:r>
      <w:proofErr w:type="spellEnd"/>
      <w:r w:rsidRPr="00996102">
        <w:t xml:space="preserve"> </w:t>
      </w:r>
      <w:proofErr w:type="spellStart"/>
      <w:r w:rsidRPr="00996102">
        <w:t>Andelfingen</w:t>
      </w:r>
      <w:proofErr w:type="spellEnd"/>
    </w:p>
    <w:p w:rsidR="00237135" w:rsidRDefault="00237135"/>
    <w:sectPr w:rsidR="002371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eGothi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1F"/>
    <w:rsid w:val="00237135"/>
    <w:rsid w:val="00C937F3"/>
    <w:rsid w:val="00F7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eGothic" w:eastAsiaTheme="minorHAnsi" w:hAnsi="TradeGothic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21F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6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eGothic" w:eastAsiaTheme="minorHAnsi" w:hAnsi="TradeGothic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21F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6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6010 Kriens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Achermann Myriam</dc:creator>
  <cp:lastModifiedBy>Achermann Myriam</cp:lastModifiedBy>
  <cp:revision>1</cp:revision>
  <dcterms:created xsi:type="dcterms:W3CDTF">2015-03-10T23:26:00Z</dcterms:created>
  <dcterms:modified xsi:type="dcterms:W3CDTF">2015-03-10T23:40:00Z</dcterms:modified>
</cp:coreProperties>
</file>